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676C7" w14:textId="1026D64D" w:rsidR="00D4177C" w:rsidRDefault="00D4177C" w:rsidP="00D4177C">
      <w:pPr>
        <w:jc w:val="center"/>
        <w:rPr>
          <w:b/>
          <w:bCs/>
          <w:sz w:val="40"/>
          <w:szCs w:val="40"/>
        </w:rPr>
      </w:pPr>
      <w:r>
        <w:rPr>
          <w:b/>
          <w:bCs/>
          <w:noProof/>
          <w:sz w:val="40"/>
          <w:szCs w:val="40"/>
        </w:rPr>
        <w:drawing>
          <wp:inline distT="0" distB="0" distL="0" distR="0" wp14:anchorId="3CF80DF5" wp14:editId="66C45C14">
            <wp:extent cx="2799470" cy="978361"/>
            <wp:effectExtent l="0" t="0" r="1270" b="0"/>
            <wp:docPr id="203784549"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784549" name="Image 203784549"/>
                    <pic:cNvPicPr/>
                  </pic:nvPicPr>
                  <pic:blipFill>
                    <a:blip r:embed="rId5">
                      <a:extLst>
                        <a:ext uri="{28A0092B-C50C-407E-A947-70E740481C1C}">
                          <a14:useLocalDpi xmlns:a14="http://schemas.microsoft.com/office/drawing/2010/main" val="0"/>
                        </a:ext>
                      </a:extLst>
                    </a:blip>
                    <a:stretch>
                      <a:fillRect/>
                    </a:stretch>
                  </pic:blipFill>
                  <pic:spPr>
                    <a:xfrm>
                      <a:off x="0" y="0"/>
                      <a:ext cx="2817983" cy="984831"/>
                    </a:xfrm>
                    <a:prstGeom prst="rect">
                      <a:avLst/>
                    </a:prstGeom>
                  </pic:spPr>
                </pic:pic>
              </a:graphicData>
            </a:graphic>
          </wp:inline>
        </w:drawing>
      </w:r>
    </w:p>
    <w:p w14:paraId="2B202A80" w14:textId="29C17BC8" w:rsidR="00AE3240" w:rsidRPr="003A55D8" w:rsidRDefault="00AE3240" w:rsidP="00D4177C">
      <w:pPr>
        <w:jc w:val="center"/>
        <w:rPr>
          <w:b/>
          <w:bCs/>
          <w:sz w:val="40"/>
          <w:szCs w:val="40"/>
        </w:rPr>
      </w:pPr>
      <w:r w:rsidRPr="003A55D8">
        <w:rPr>
          <w:b/>
          <w:bCs/>
          <w:sz w:val="40"/>
          <w:szCs w:val="40"/>
        </w:rPr>
        <w:t>Communique de Presse BACnet France</w:t>
      </w:r>
    </w:p>
    <w:p w14:paraId="766FB216" w14:textId="77777777" w:rsidR="003A55D8" w:rsidRPr="003A55D8" w:rsidRDefault="003A55D8" w:rsidP="00D4177C">
      <w:pPr>
        <w:jc w:val="center"/>
        <w:rPr>
          <w:b/>
          <w:bCs/>
          <w:sz w:val="40"/>
          <w:szCs w:val="40"/>
        </w:rPr>
      </w:pPr>
      <w:r w:rsidRPr="003A55D8">
        <w:rPr>
          <w:b/>
          <w:bCs/>
          <w:sz w:val="40"/>
          <w:szCs w:val="40"/>
        </w:rPr>
        <w:t>La cybersécurité dans les bâtiments avec BACnet/SC</w:t>
      </w:r>
    </w:p>
    <w:p w14:paraId="51341047" w14:textId="32670A68" w:rsidR="003A55D8" w:rsidRPr="00624E04" w:rsidRDefault="00CD64F9" w:rsidP="00CD64F9">
      <w:pPr>
        <w:jc w:val="both"/>
      </w:pPr>
      <w:r>
        <w:t>Ce c</w:t>
      </w:r>
      <w:r w:rsidR="0003737B">
        <w:t xml:space="preserve">ommuniqué de presse </w:t>
      </w:r>
      <w:r w:rsidR="00E31DE9">
        <w:t xml:space="preserve">développe les 3 sujets suivants : la réglementation cybersécurité, la convergence IT/OT et le déploiement de BACnet/SC. </w:t>
      </w:r>
      <w:r w:rsidR="00B765DA">
        <w:t>Il vise à faire un état des lieux de la cybersécurité dans les bâtiments à ce jour.</w:t>
      </w:r>
    </w:p>
    <w:p w14:paraId="00502406" w14:textId="680112A6" w:rsidR="00AE3240" w:rsidRPr="00D4177C" w:rsidRDefault="00E31DE9" w:rsidP="00D4177C">
      <w:pPr>
        <w:pStyle w:val="Paragraphedeliste"/>
        <w:numPr>
          <w:ilvl w:val="0"/>
          <w:numId w:val="1"/>
        </w:numPr>
        <w:rPr>
          <w:b/>
          <w:bCs/>
          <w:sz w:val="28"/>
          <w:szCs w:val="28"/>
        </w:rPr>
      </w:pPr>
      <w:r>
        <w:rPr>
          <w:b/>
          <w:bCs/>
          <w:sz w:val="28"/>
          <w:szCs w:val="28"/>
        </w:rPr>
        <w:t>La réglementation cybersécurité</w:t>
      </w:r>
      <w:r w:rsidR="00932560" w:rsidRPr="00D4177C">
        <w:rPr>
          <w:b/>
          <w:bCs/>
          <w:sz w:val="28"/>
          <w:szCs w:val="28"/>
        </w:rPr>
        <w:t> :</w:t>
      </w:r>
    </w:p>
    <w:p w14:paraId="4A411752" w14:textId="01BFB093" w:rsidR="00BD24A6" w:rsidRPr="00BD24A6" w:rsidRDefault="00CB6AEB" w:rsidP="0084029B">
      <w:pPr>
        <w:jc w:val="both"/>
      </w:pPr>
      <w:r>
        <w:t>Le cadre réglementaire</w:t>
      </w:r>
      <w:r w:rsidR="00F8353E">
        <w:t xml:space="preserve"> de la cybersécurité dans les bâtiments </w:t>
      </w:r>
      <w:r w:rsidR="0084029B">
        <w:t xml:space="preserve">est en cours d’élaboration. </w:t>
      </w:r>
      <w:r w:rsidR="00E31DE9">
        <w:t>3 textes</w:t>
      </w:r>
      <w:r w:rsidR="00CD64F9">
        <w:t xml:space="preserve"> </w:t>
      </w:r>
      <w:r w:rsidR="00E31DE9">
        <w:t>d’origine européenne</w:t>
      </w:r>
      <w:r w:rsidR="0084029B">
        <w:t xml:space="preserve"> font</w:t>
      </w:r>
      <w:r w:rsidR="00740939">
        <w:t xml:space="preserve"> l’objet </w:t>
      </w:r>
      <w:r w:rsidR="00175EA7">
        <w:t xml:space="preserve">d’un projet de </w:t>
      </w:r>
      <w:r w:rsidR="00B73914">
        <w:t xml:space="preserve">texte réglementaire </w:t>
      </w:r>
      <w:r w:rsidR="00175EA7">
        <w:t>en France</w:t>
      </w:r>
      <w:r w:rsidR="00740939">
        <w:t xml:space="preserve"> pour leur transposition et mise en exécution</w:t>
      </w:r>
      <w:r w:rsidR="00E31DE9">
        <w:t xml:space="preserve"> : </w:t>
      </w:r>
    </w:p>
    <w:p w14:paraId="3E2872F1" w14:textId="75BBE31D" w:rsidR="00BD24A6" w:rsidRPr="00D4177C" w:rsidRDefault="00833FF3" w:rsidP="00D4177C">
      <w:pPr>
        <w:pStyle w:val="Paragraphedeliste"/>
        <w:numPr>
          <w:ilvl w:val="0"/>
          <w:numId w:val="2"/>
        </w:numPr>
        <w:spacing w:after="0"/>
        <w:rPr>
          <w:lang w:val="en-US"/>
        </w:rPr>
      </w:pPr>
      <w:r>
        <w:rPr>
          <w:lang w:val="en-US"/>
        </w:rPr>
        <w:t xml:space="preserve">La Directive </w:t>
      </w:r>
      <w:r w:rsidR="00BF564C">
        <w:rPr>
          <w:lang w:val="en-US"/>
        </w:rPr>
        <w:t>UE 2022/2555</w:t>
      </w:r>
      <w:r w:rsidR="00BF564C">
        <w:rPr>
          <w:lang w:val="en-US"/>
        </w:rPr>
        <w:t xml:space="preserve"> “</w:t>
      </w:r>
      <w:r w:rsidR="00E31DE9" w:rsidRPr="00D4177C">
        <w:rPr>
          <w:lang w:val="en-US"/>
        </w:rPr>
        <w:t>Netwo</w:t>
      </w:r>
      <w:r w:rsidR="00E31DE9">
        <w:rPr>
          <w:lang w:val="en-US"/>
        </w:rPr>
        <w:t>rk and Information Security (NIS2)</w:t>
      </w:r>
      <w:r w:rsidR="00BF564C">
        <w:rPr>
          <w:lang w:val="en-US"/>
        </w:rPr>
        <w:t xml:space="preserve">” </w:t>
      </w:r>
      <w:r w:rsidR="00E31DE9">
        <w:rPr>
          <w:lang w:val="en-US"/>
        </w:rPr>
        <w:t xml:space="preserve">– application </w:t>
      </w:r>
      <w:proofErr w:type="spellStart"/>
      <w:r w:rsidR="00E31DE9">
        <w:rPr>
          <w:lang w:val="en-US"/>
        </w:rPr>
        <w:t>retardée</w:t>
      </w:r>
      <w:proofErr w:type="spellEnd"/>
      <w:r w:rsidR="00E31DE9">
        <w:rPr>
          <w:lang w:val="en-US"/>
        </w:rPr>
        <w:t xml:space="preserve"> </w:t>
      </w:r>
      <w:proofErr w:type="spellStart"/>
      <w:r w:rsidR="00E31DE9">
        <w:rPr>
          <w:lang w:val="en-US"/>
        </w:rPr>
        <w:t>en</w:t>
      </w:r>
      <w:proofErr w:type="spellEnd"/>
      <w:r w:rsidR="00E31DE9">
        <w:rPr>
          <w:lang w:val="en-US"/>
        </w:rPr>
        <w:t xml:space="preserve"> </w:t>
      </w:r>
      <w:proofErr w:type="spellStart"/>
      <w:r w:rsidR="00E31DE9">
        <w:rPr>
          <w:lang w:val="en-US"/>
        </w:rPr>
        <w:t>Farance</w:t>
      </w:r>
      <w:proofErr w:type="spellEnd"/>
    </w:p>
    <w:p w14:paraId="30CE4C56" w14:textId="74EE2D0F" w:rsidR="00BD24A6" w:rsidRPr="00BD24A6" w:rsidRDefault="00C0719F" w:rsidP="00D4177C">
      <w:pPr>
        <w:pStyle w:val="Paragraphedeliste"/>
        <w:numPr>
          <w:ilvl w:val="0"/>
          <w:numId w:val="2"/>
        </w:numPr>
        <w:spacing w:after="0"/>
      </w:pPr>
      <w:r>
        <w:t xml:space="preserve">Le règlement </w:t>
      </w:r>
      <w:r>
        <w:t>UE 2024/</w:t>
      </w:r>
      <w:proofErr w:type="gramStart"/>
      <w:r>
        <w:t xml:space="preserve">2847 </w:t>
      </w:r>
      <w:r>
        <w:t xml:space="preserve"> «</w:t>
      </w:r>
      <w:proofErr w:type="gramEnd"/>
      <w:r w:rsidR="00BD24A6" w:rsidRPr="00BD24A6">
        <w:t>C</w:t>
      </w:r>
      <w:r w:rsidR="00740939">
        <w:t xml:space="preserve">yber </w:t>
      </w:r>
      <w:proofErr w:type="spellStart"/>
      <w:r w:rsidR="00740939">
        <w:t>Resiliance</w:t>
      </w:r>
      <w:proofErr w:type="spellEnd"/>
      <w:r w:rsidR="00740939">
        <w:t xml:space="preserve"> </w:t>
      </w:r>
      <w:proofErr w:type="spellStart"/>
      <w:proofErr w:type="gramStart"/>
      <w:r w:rsidR="00740939">
        <w:t>Act</w:t>
      </w:r>
      <w:proofErr w:type="spellEnd"/>
      <w:r w:rsidR="00740939">
        <w:t xml:space="preserve">  (</w:t>
      </w:r>
      <w:proofErr w:type="gramEnd"/>
      <w:r w:rsidR="00740939">
        <w:t>CRA) - A</w:t>
      </w:r>
      <w:r w:rsidR="00BD24A6" w:rsidRPr="00BD24A6">
        <w:t>pplication en France progressive entre juin 2026 et décembre 2027 selon ANSSI</w:t>
      </w:r>
    </w:p>
    <w:p w14:paraId="75534F56" w14:textId="197AC508" w:rsidR="00BD24A6" w:rsidRDefault="00F5237E" w:rsidP="00D4177C">
      <w:pPr>
        <w:pStyle w:val="Paragraphedeliste"/>
        <w:numPr>
          <w:ilvl w:val="0"/>
          <w:numId w:val="2"/>
        </w:numPr>
        <w:spacing w:after="0"/>
      </w:pPr>
      <w:r>
        <w:t>Le règlement 2022/2554 « </w:t>
      </w:r>
      <w:r w:rsidR="00740939">
        <w:t xml:space="preserve">Digital </w:t>
      </w:r>
      <w:proofErr w:type="spellStart"/>
      <w:r w:rsidR="00740939">
        <w:t>Operatio</w:t>
      </w:r>
      <w:r>
        <w:t>n</w:t>
      </w:r>
      <w:r w:rsidR="00740939">
        <w:t>al</w:t>
      </w:r>
      <w:proofErr w:type="spellEnd"/>
      <w:r w:rsidR="00740939">
        <w:t xml:space="preserve"> </w:t>
      </w:r>
      <w:proofErr w:type="spellStart"/>
      <w:r w:rsidR="00740939">
        <w:t>Resilience</w:t>
      </w:r>
      <w:proofErr w:type="spellEnd"/>
      <w:r w:rsidR="00740939">
        <w:t xml:space="preserve"> </w:t>
      </w:r>
      <w:proofErr w:type="spellStart"/>
      <w:r w:rsidR="00740939">
        <w:t>Act</w:t>
      </w:r>
      <w:proofErr w:type="spellEnd"/>
      <w:r w:rsidR="00740939">
        <w:t xml:space="preserve"> (DORA)</w:t>
      </w:r>
      <w:r>
        <w:t> »</w:t>
      </w:r>
      <w:r w:rsidR="00740939">
        <w:t xml:space="preserve"> - A</w:t>
      </w:r>
      <w:r w:rsidR="00BD24A6" w:rsidRPr="00BD24A6">
        <w:t>pplicable au secteur financier</w:t>
      </w:r>
    </w:p>
    <w:p w14:paraId="601B0C01" w14:textId="77777777" w:rsidR="00175EA7" w:rsidRPr="00BD24A6" w:rsidRDefault="00175EA7" w:rsidP="00D4177C">
      <w:pPr>
        <w:pStyle w:val="Paragraphedeliste"/>
        <w:numPr>
          <w:ilvl w:val="0"/>
          <w:numId w:val="2"/>
        </w:numPr>
        <w:spacing w:after="0"/>
      </w:pPr>
    </w:p>
    <w:p w14:paraId="17B052DA" w14:textId="69F4EEDB" w:rsidR="00740939" w:rsidRDefault="00175EA7" w:rsidP="00740939">
      <w:r>
        <w:t>Ce</w:t>
      </w:r>
      <w:r w:rsidR="00740939">
        <w:t xml:space="preserve"> projet de texte français est la «</w:t>
      </w:r>
      <w:r w:rsidR="00751080">
        <w:t xml:space="preserve"> </w:t>
      </w:r>
      <w:r w:rsidR="00751080" w:rsidRPr="000F3D99">
        <w:rPr>
          <w:b/>
          <w:bCs/>
        </w:rPr>
        <w:t>L</w:t>
      </w:r>
      <w:r w:rsidR="00740939" w:rsidRPr="000F3D99">
        <w:rPr>
          <w:b/>
          <w:bCs/>
        </w:rPr>
        <w:t>oi relative à la résilience des infrastructures critiques et au renforcement de la cybersécurité »</w:t>
      </w:r>
      <w:r w:rsidR="00740939">
        <w:t xml:space="preserve">.  Il a été amendé par le Sénat mais n’est pas repassé par l’Assemblée </w:t>
      </w:r>
      <w:r w:rsidR="000F3D99">
        <w:t>nationale</w:t>
      </w:r>
      <w:r w:rsidR="00740939">
        <w:t xml:space="preserve">. </w:t>
      </w:r>
    </w:p>
    <w:p w14:paraId="320C211E" w14:textId="5FCC3033" w:rsidR="00BD24A6" w:rsidRPr="00BD24A6" w:rsidRDefault="00740939" w:rsidP="00751080">
      <w:r>
        <w:t>Dans ce cadre, il est important de noter que la réglementation cyber en France relève de la compétence de l’</w:t>
      </w:r>
      <w:r w:rsidRPr="00BD24A6">
        <w:t>Agence Nationale de la Sécurité des Systèmes d’Information</w:t>
      </w:r>
      <w:r>
        <w:t xml:space="preserve"> (ANSSI).  </w:t>
      </w:r>
    </w:p>
    <w:p w14:paraId="612CD38E" w14:textId="188530E1" w:rsidR="00BD24A6" w:rsidRPr="00BD24A6" w:rsidRDefault="00BD24A6" w:rsidP="00BD24A6">
      <w:r w:rsidRPr="00BD24A6">
        <w:t xml:space="preserve">Les rôles de </w:t>
      </w:r>
      <w:r w:rsidR="00740939">
        <w:t>cette</w:t>
      </w:r>
      <w:r w:rsidR="00751080">
        <w:t xml:space="preserve"> </w:t>
      </w:r>
      <w:r w:rsidRPr="00BD24A6">
        <w:t>Agence Interministérielle</w:t>
      </w:r>
      <w:r w:rsidR="00740939">
        <w:t xml:space="preserve"> </w:t>
      </w:r>
      <w:r w:rsidR="00751080">
        <w:t xml:space="preserve">sont </w:t>
      </w:r>
      <w:r w:rsidR="00751080" w:rsidRPr="00BD24A6">
        <w:t>:</w:t>
      </w:r>
    </w:p>
    <w:p w14:paraId="0FBCE74C" w14:textId="77777777" w:rsidR="00BD24A6" w:rsidRPr="00BD24A6" w:rsidRDefault="00BD24A6" w:rsidP="00751080">
      <w:pPr>
        <w:spacing w:after="0"/>
        <w:jc w:val="both"/>
      </w:pPr>
      <w:r w:rsidRPr="00BD24A6">
        <w:t>1)</w:t>
      </w:r>
      <w:r w:rsidRPr="00BD24A6">
        <w:rPr>
          <w:b/>
          <w:bCs/>
        </w:rPr>
        <w:t xml:space="preserve"> Défendre</w:t>
      </w:r>
      <w:r w:rsidRPr="00BD24A6">
        <w:t xml:space="preserve"> les systèmes d’information critiques de la Nation en concevant et opérant des capacités de détection des cyberattaques</w:t>
      </w:r>
    </w:p>
    <w:p w14:paraId="5D0219FC" w14:textId="77777777" w:rsidR="00BD24A6" w:rsidRPr="00BD24A6" w:rsidRDefault="00BD24A6" w:rsidP="00751080">
      <w:pPr>
        <w:spacing w:after="0"/>
        <w:jc w:val="both"/>
      </w:pPr>
      <w:r w:rsidRPr="00BD24A6">
        <w:t xml:space="preserve">2) </w:t>
      </w:r>
      <w:r w:rsidRPr="00BD24A6">
        <w:rPr>
          <w:b/>
          <w:bCs/>
        </w:rPr>
        <w:t>Connaître</w:t>
      </w:r>
      <w:r w:rsidRPr="00BD24A6">
        <w:t xml:space="preserve"> l’état de l’art en sécurité des technologies et des systèmes d’information</w:t>
      </w:r>
    </w:p>
    <w:p w14:paraId="34ABCE69" w14:textId="77777777" w:rsidR="00BD24A6" w:rsidRPr="00BD24A6" w:rsidRDefault="00BD24A6" w:rsidP="00751080">
      <w:pPr>
        <w:spacing w:after="0"/>
        <w:jc w:val="both"/>
      </w:pPr>
      <w:r w:rsidRPr="00BD24A6">
        <w:t>3)</w:t>
      </w:r>
      <w:r w:rsidRPr="00BD24A6">
        <w:rPr>
          <w:b/>
          <w:bCs/>
        </w:rPr>
        <w:t xml:space="preserve"> Partager</w:t>
      </w:r>
      <w:r w:rsidRPr="00BD24A6">
        <w:t xml:space="preserve"> des recommandations, des méthodes et des outils aux acteurs de la cybersécurité et du numérique</w:t>
      </w:r>
    </w:p>
    <w:p w14:paraId="3E1A6145" w14:textId="16E10B96" w:rsidR="00BD24A6" w:rsidRPr="00BD24A6" w:rsidRDefault="00BD24A6" w:rsidP="00751080">
      <w:pPr>
        <w:spacing w:after="0"/>
        <w:jc w:val="both"/>
      </w:pPr>
      <w:r w:rsidRPr="00BD24A6">
        <w:lastRenderedPageBreak/>
        <w:t xml:space="preserve">4) </w:t>
      </w:r>
      <w:r w:rsidRPr="00BD24A6">
        <w:rPr>
          <w:b/>
          <w:bCs/>
        </w:rPr>
        <w:t>Accompagner</w:t>
      </w:r>
      <w:r w:rsidRPr="00BD24A6">
        <w:t xml:space="preserve"> le déploiement d’une politique publique en matière de cybersécurité et sa déclinaison </w:t>
      </w:r>
      <w:r w:rsidR="00D04C6B" w:rsidRPr="00BD24A6">
        <w:t>territoriale ;</w:t>
      </w:r>
      <w:r w:rsidRPr="00BD24A6">
        <w:t xml:space="preserve"> accompagner les autorités dans leur compréhension du fait cyber</w:t>
      </w:r>
    </w:p>
    <w:p w14:paraId="703958A0" w14:textId="77777777" w:rsidR="00D04C6B" w:rsidRDefault="00BD24A6" w:rsidP="00751080">
      <w:pPr>
        <w:spacing w:after="0"/>
        <w:jc w:val="both"/>
      </w:pPr>
      <w:r w:rsidRPr="00BD24A6">
        <w:t xml:space="preserve">5) </w:t>
      </w:r>
      <w:r w:rsidRPr="00BD24A6">
        <w:rPr>
          <w:b/>
          <w:bCs/>
        </w:rPr>
        <w:t>Réguler</w:t>
      </w:r>
      <w:r w:rsidRPr="00BD24A6">
        <w:t xml:space="preserve"> la qualité des produits et services de cybersécurité au travers de démarches de qualification et de </w:t>
      </w:r>
      <w:r w:rsidR="00904D9A" w:rsidRPr="00BD24A6">
        <w:t xml:space="preserve">certification </w:t>
      </w:r>
      <w:r w:rsidR="00904D9A" w:rsidRPr="00D04C6B">
        <w:rPr>
          <w:b/>
          <w:bCs/>
        </w:rPr>
        <w:t>;</w:t>
      </w:r>
      <w:r w:rsidRPr="00BD24A6">
        <w:rPr>
          <w:b/>
          <w:bCs/>
        </w:rPr>
        <w:t xml:space="preserve"> par la conception de dispositifs normatifs et réglementaires aux niveaux national, européen et international</w:t>
      </w:r>
      <w:r w:rsidRPr="00BD24A6">
        <w:t xml:space="preserve"> ; par le contrôle de leur bonne applicatio</w:t>
      </w:r>
      <w:r w:rsidR="00D04C6B">
        <w:t>n</w:t>
      </w:r>
    </w:p>
    <w:p w14:paraId="493F0785" w14:textId="77777777" w:rsidR="00740939" w:rsidRDefault="00740939" w:rsidP="00D04C6B">
      <w:pPr>
        <w:spacing w:after="0"/>
      </w:pPr>
    </w:p>
    <w:p w14:paraId="58D148C8" w14:textId="2EDAFB28" w:rsidR="00BD24A6" w:rsidRPr="00BD24A6" w:rsidRDefault="00BD24A6" w:rsidP="00751080">
      <w:pPr>
        <w:spacing w:after="0"/>
        <w:jc w:val="both"/>
      </w:pPr>
      <w:r w:rsidRPr="00BD24A6">
        <w:t>Pour la sensibilisation des acteurs institutionnels et privé</w:t>
      </w:r>
      <w:r w:rsidR="00740939">
        <w:t>s</w:t>
      </w:r>
      <w:r w:rsidR="00751080">
        <w:t xml:space="preserve">, </w:t>
      </w:r>
      <w:r w:rsidRPr="00BD24A6">
        <w:t xml:space="preserve">ANSSI a présenté </w:t>
      </w:r>
      <w:r w:rsidR="00740939">
        <w:t xml:space="preserve">le 17 mars 2026 </w:t>
      </w:r>
      <w:r w:rsidRPr="00BD24A6">
        <w:t xml:space="preserve">le document de travail </w:t>
      </w:r>
      <w:proofErr w:type="spellStart"/>
      <w:proofErr w:type="gramStart"/>
      <w:r w:rsidRPr="00BD24A6">
        <w:t>ReCyF</w:t>
      </w:r>
      <w:proofErr w:type="spellEnd"/>
      <w:r w:rsidRPr="00BD24A6">
        <w:t>:</w:t>
      </w:r>
      <w:proofErr w:type="gramEnd"/>
      <w:r w:rsidR="00937D6B">
        <w:t xml:space="preserve"> (</w:t>
      </w:r>
      <w:r w:rsidRPr="00BD24A6">
        <w:t xml:space="preserve">Référentiel Cyber </w:t>
      </w:r>
      <w:r w:rsidR="00937D6B">
        <w:t xml:space="preserve">France) </w:t>
      </w:r>
      <w:r w:rsidRPr="00BD24A6">
        <w:t>pour NIS 2 en version document de travail ainsi que des ressources et outils concrets, comme l’outil de comparaison des référentiels, pour aider à la sécurisation des organisations</w:t>
      </w:r>
      <w:r w:rsidR="00937D6B">
        <w:t xml:space="preserve">. </w:t>
      </w:r>
    </w:p>
    <w:p w14:paraId="0E937A6E" w14:textId="77777777" w:rsidR="00FD0960" w:rsidRDefault="00FD0960" w:rsidP="00BD24A6"/>
    <w:p w14:paraId="4625AF95" w14:textId="41380DB0" w:rsidR="00BD24A6" w:rsidRPr="00BD24A6" w:rsidRDefault="00504AFB" w:rsidP="00BD24A6">
      <w:pPr>
        <w:rPr>
          <w:b/>
          <w:bCs/>
          <w:sz w:val="32"/>
          <w:szCs w:val="32"/>
        </w:rPr>
      </w:pPr>
      <w:r>
        <w:rPr>
          <w:b/>
          <w:bCs/>
          <w:sz w:val="32"/>
          <w:szCs w:val="32"/>
        </w:rPr>
        <w:t xml:space="preserve">La </w:t>
      </w:r>
      <w:r w:rsidRPr="00504AFB">
        <w:rPr>
          <w:b/>
          <w:bCs/>
          <w:sz w:val="32"/>
          <w:szCs w:val="32"/>
        </w:rPr>
        <w:t>Convergence IT/OT</w:t>
      </w:r>
    </w:p>
    <w:p w14:paraId="24C74EE8" w14:textId="34311019" w:rsidR="00BD24A6" w:rsidRPr="00BD24A6" w:rsidRDefault="00BD24A6" w:rsidP="00751080">
      <w:pPr>
        <w:jc w:val="both"/>
      </w:pPr>
      <w:r w:rsidRPr="00BD24A6">
        <w:t xml:space="preserve"> Convergence est un terme</w:t>
      </w:r>
      <w:r w:rsidR="00A27AD8">
        <w:t xml:space="preserve"> en soit</w:t>
      </w:r>
      <w:r w:rsidRPr="00BD24A6">
        <w:t xml:space="preserve"> </w:t>
      </w:r>
      <w:r w:rsidR="00A27AD8">
        <w:t>qui définit l’</w:t>
      </w:r>
      <w:r w:rsidRPr="00BD24A6">
        <w:t>action d'aboutir au même résultat, de tendre vers un but commun. Dans le contexte, il s’agit de la convergence numérique (monde digital)</w:t>
      </w:r>
      <w:r w:rsidR="007123BE">
        <w:t>, u</w:t>
      </w:r>
      <w:r w:rsidRPr="00BD24A6">
        <w:t>n phénomène qui tend à fusionner l'information, le support et le transport des données, avec les processus physiques dans les bâtiments (monde physique).</w:t>
      </w:r>
    </w:p>
    <w:p w14:paraId="433D626F" w14:textId="77777777" w:rsidR="00BD24A6" w:rsidRPr="00BD24A6" w:rsidRDefault="00BD24A6" w:rsidP="00751080">
      <w:pPr>
        <w:jc w:val="both"/>
      </w:pPr>
      <w:r w:rsidRPr="00BD24A6">
        <w:t>Le déploiement par les constructeurs de BACS de la solution BACnet/SC est la solution appropriée pour rendre conforme avec la réglementation les bâtiments neufs et assurer l’évolution des bâtiments existants.</w:t>
      </w:r>
    </w:p>
    <w:p w14:paraId="24F61E8F" w14:textId="77777777" w:rsidR="00BD24A6" w:rsidRPr="00BD24A6" w:rsidRDefault="00BD24A6" w:rsidP="00751080">
      <w:pPr>
        <w:jc w:val="both"/>
      </w:pPr>
      <w:r w:rsidRPr="00BD24A6">
        <w:t>Cependant, cette convergence apporte avec elle un ensemble complexe de défis, notamment des problèmes organisationnels, de gouvernance et de cybersécurité, et par la même occasion technique, pour respecter la réglementation à jour. Il ne faut pas oublier que premièrement un bâtiment doit être réglementaire.</w:t>
      </w:r>
    </w:p>
    <w:p w14:paraId="0EC64386" w14:textId="77777777" w:rsidR="00BD24A6" w:rsidRPr="00BD24A6" w:rsidRDefault="00BD24A6" w:rsidP="00751080">
      <w:pPr>
        <w:jc w:val="both"/>
      </w:pPr>
      <w:r w:rsidRPr="00BD24A6">
        <w:t xml:space="preserve"> La convergence IT et OT fait référence à l'intégration des systèmes informatiques traditionnels (IT) avec les systèmes de contrôle et de gestion dans les bâtiments (OT) communément appelé BACS (Building Automation and Control) ou simplement systèmes de régulation et GTB. </w:t>
      </w:r>
    </w:p>
    <w:p w14:paraId="671911A1" w14:textId="77777777" w:rsidR="00BD24A6" w:rsidRPr="00BD24A6" w:rsidRDefault="00BD24A6" w:rsidP="00751080">
      <w:pPr>
        <w:jc w:val="both"/>
      </w:pPr>
      <w:r w:rsidRPr="00BD24A6">
        <w:t>L'IT est généralement associé à la gestion des données, des réseaux et des applications au niveau gestion du bâtiment.</w:t>
      </w:r>
    </w:p>
    <w:p w14:paraId="4ADA08B8" w14:textId="2F02F0DD" w:rsidR="00BD24A6" w:rsidRPr="00BD24A6" w:rsidRDefault="00BD24A6" w:rsidP="00751080">
      <w:pPr>
        <w:jc w:val="both"/>
      </w:pPr>
      <w:r w:rsidRPr="00BD24A6">
        <w:t>L'OT se concentre sur le contrôle des processus physiques tels que la production, stockage, distribution et émission de l’énergie et le monitoring dans les cas des GTB/GTC. L'objectif principale de cette convergence est de tirer parti des données des deux mondes et d’automatiser afin d’améliorer l'efficacité opérationnelle et la prise de décision de l’ensemble.</w:t>
      </w:r>
    </w:p>
    <w:p w14:paraId="298D6A90" w14:textId="553A3252" w:rsidR="00BD24A6" w:rsidRPr="00BD24A6" w:rsidRDefault="00BD24A6" w:rsidP="00BD24A6">
      <w:r w:rsidRPr="00BD24A6">
        <w:lastRenderedPageBreak/>
        <w:t xml:space="preserve">De quelle convergence </w:t>
      </w:r>
      <w:r w:rsidR="00AA1D55" w:rsidRPr="00BD24A6">
        <w:t>parl</w:t>
      </w:r>
      <w:r w:rsidR="00F03269">
        <w:t>e-t-on</w:t>
      </w:r>
      <w:r w:rsidR="00AA1D55" w:rsidRPr="00BD24A6">
        <w:t xml:space="preserve"> ?</w:t>
      </w:r>
    </w:p>
    <w:p w14:paraId="313DE97C" w14:textId="77777777" w:rsidR="00BD24A6" w:rsidRPr="00BD24A6" w:rsidRDefault="00BD24A6" w:rsidP="00AA1D55">
      <w:pPr>
        <w:spacing w:after="0"/>
      </w:pPr>
      <w:r w:rsidRPr="00BD24A6">
        <w:t>1) La Convergence des données (utiliser des données BACS pour l’IT)</w:t>
      </w:r>
    </w:p>
    <w:p w14:paraId="2F33055A" w14:textId="77777777" w:rsidR="00BD24A6" w:rsidRPr="00BD24A6" w:rsidRDefault="00BD24A6" w:rsidP="00AA1D55">
      <w:pPr>
        <w:spacing w:after="0"/>
      </w:pPr>
      <w:r w:rsidRPr="00BD24A6">
        <w:t>2) La Convergence des moyens techniques (infrastructure partagée)</w:t>
      </w:r>
    </w:p>
    <w:p w14:paraId="5361163A" w14:textId="77777777" w:rsidR="00BD24A6" w:rsidRPr="00BD24A6" w:rsidRDefault="00BD24A6" w:rsidP="00AA1D55">
      <w:pPr>
        <w:spacing w:after="0"/>
      </w:pPr>
      <w:r w:rsidRPr="00BD24A6">
        <w:t xml:space="preserve">3) Assurer le niveau d’interopérabilité </w:t>
      </w:r>
    </w:p>
    <w:p w14:paraId="4E9E8251" w14:textId="77777777" w:rsidR="00BD24A6" w:rsidRDefault="00BD24A6" w:rsidP="00AA1D55">
      <w:pPr>
        <w:spacing w:after="0"/>
      </w:pPr>
      <w:r w:rsidRPr="00BD24A6">
        <w:t>4) La convergence des moyens humains et organisationnelle</w:t>
      </w:r>
    </w:p>
    <w:p w14:paraId="6192A6CD" w14:textId="77777777" w:rsidR="00DE5D6D" w:rsidRPr="00BD24A6" w:rsidRDefault="00DE5D6D" w:rsidP="00AA1D55">
      <w:pPr>
        <w:spacing w:after="0"/>
      </w:pPr>
    </w:p>
    <w:p w14:paraId="064354F1" w14:textId="3B691D62" w:rsidR="003A2E32" w:rsidRDefault="00BD24A6" w:rsidP="00BD24A6">
      <w:r w:rsidRPr="00BD24A6">
        <w:t xml:space="preserve">BACnet est un Réseau/Protocole OT qui réponde à tout point, et assure la convergence IT/OT. BACnet/SC (BACnet Secure </w:t>
      </w:r>
      <w:proofErr w:type="spellStart"/>
      <w:r w:rsidRPr="00BD24A6">
        <w:t>Connect</w:t>
      </w:r>
      <w:proofErr w:type="spellEnd"/>
      <w:r w:rsidRPr="00BD24A6">
        <w:t xml:space="preserve">) est son évolution pour la cybersécurité. </w:t>
      </w:r>
    </w:p>
    <w:p w14:paraId="135578C1" w14:textId="20FAB5B8" w:rsidR="00BD24A6" w:rsidRPr="007F3681" w:rsidRDefault="00BD24A6" w:rsidP="00BD24A6">
      <w:pPr>
        <w:rPr>
          <w:b/>
          <w:bCs/>
        </w:rPr>
      </w:pPr>
      <w:r w:rsidRPr="007F3681">
        <w:rPr>
          <w:b/>
          <w:bCs/>
        </w:rPr>
        <w:t xml:space="preserve">Synthèse des défis et </w:t>
      </w:r>
      <w:r w:rsidR="00D66E63" w:rsidRPr="007F3681">
        <w:rPr>
          <w:b/>
          <w:bCs/>
        </w:rPr>
        <w:t>enjeux :</w:t>
      </w:r>
    </w:p>
    <w:p w14:paraId="51063C9C" w14:textId="1E82A322" w:rsidR="00BD24A6" w:rsidRPr="007F3681" w:rsidRDefault="00BD24A6" w:rsidP="00DE5D6D">
      <w:pPr>
        <w:pStyle w:val="Paragraphedeliste"/>
        <w:numPr>
          <w:ilvl w:val="0"/>
          <w:numId w:val="3"/>
        </w:numPr>
        <w:rPr>
          <w:b/>
          <w:bCs/>
        </w:rPr>
      </w:pPr>
      <w:r w:rsidRPr="007F3681">
        <w:rPr>
          <w:b/>
          <w:bCs/>
        </w:rPr>
        <w:t xml:space="preserve">Problématiques </w:t>
      </w:r>
      <w:r w:rsidR="003A2E32" w:rsidRPr="007F3681">
        <w:rPr>
          <w:b/>
          <w:bCs/>
        </w:rPr>
        <w:t>Organisationnelles :</w:t>
      </w:r>
      <w:r w:rsidRPr="007F3681">
        <w:rPr>
          <w:b/>
          <w:bCs/>
        </w:rPr>
        <w:t xml:space="preserve"> Les départements IT et OT ont souvent des cultures, des priorités et des langages différents. </w:t>
      </w:r>
    </w:p>
    <w:p w14:paraId="775004DC" w14:textId="03B6881F" w:rsidR="00BD24A6" w:rsidRPr="007F3681" w:rsidRDefault="00BD24A6" w:rsidP="00DE5D6D">
      <w:pPr>
        <w:pStyle w:val="Paragraphedeliste"/>
        <w:numPr>
          <w:ilvl w:val="0"/>
          <w:numId w:val="3"/>
        </w:numPr>
        <w:rPr>
          <w:b/>
          <w:bCs/>
        </w:rPr>
      </w:pPr>
      <w:r w:rsidRPr="007F3681">
        <w:rPr>
          <w:b/>
          <w:bCs/>
        </w:rPr>
        <w:t xml:space="preserve">Défis de </w:t>
      </w:r>
      <w:r w:rsidR="003A2E32" w:rsidRPr="007F3681">
        <w:rPr>
          <w:b/>
          <w:bCs/>
        </w:rPr>
        <w:t>Gouvernance :</w:t>
      </w:r>
      <w:r w:rsidRPr="007F3681">
        <w:rPr>
          <w:b/>
          <w:bCs/>
        </w:rPr>
        <w:t xml:space="preserve"> Le management du projet doit décider de la manière dont vont être gérés et supervisés les systèmes combinés. Il faut avoir la réponse à la question : Comment garantir la conformité réglementaire dans les deux domaines si elle existe ?</w:t>
      </w:r>
    </w:p>
    <w:p w14:paraId="53D7641B" w14:textId="084DF720" w:rsidR="00BD24A6" w:rsidRPr="007F3681" w:rsidRDefault="00BD24A6" w:rsidP="00DE5D6D">
      <w:pPr>
        <w:pStyle w:val="Paragraphedeliste"/>
        <w:numPr>
          <w:ilvl w:val="0"/>
          <w:numId w:val="3"/>
        </w:numPr>
        <w:rPr>
          <w:b/>
          <w:bCs/>
        </w:rPr>
      </w:pPr>
      <w:r w:rsidRPr="007F3681">
        <w:rPr>
          <w:b/>
          <w:bCs/>
        </w:rPr>
        <w:t xml:space="preserve">Enjeux de </w:t>
      </w:r>
      <w:r w:rsidR="003A2E32" w:rsidRPr="007F3681">
        <w:rPr>
          <w:b/>
          <w:bCs/>
        </w:rPr>
        <w:t>Cybersécurité :</w:t>
      </w:r>
      <w:r w:rsidRPr="007F3681">
        <w:rPr>
          <w:b/>
          <w:bCs/>
        </w:rPr>
        <w:t xml:space="preserve"> le management du projet doit mettre en place des stratégies de cybersécurité robustes qui couvrent à la fois l'IT et l'OT</w:t>
      </w:r>
    </w:p>
    <w:p w14:paraId="09284723" w14:textId="2EE29088" w:rsidR="00BD24A6" w:rsidRPr="007F3681" w:rsidRDefault="00BD24A6" w:rsidP="00DE5D6D">
      <w:pPr>
        <w:pStyle w:val="Paragraphedeliste"/>
        <w:numPr>
          <w:ilvl w:val="0"/>
          <w:numId w:val="3"/>
        </w:numPr>
        <w:rPr>
          <w:b/>
          <w:bCs/>
        </w:rPr>
      </w:pPr>
      <w:r w:rsidRPr="007F3681">
        <w:rPr>
          <w:b/>
          <w:bCs/>
        </w:rPr>
        <w:t xml:space="preserve">Complémentarité entre le monde physique et </w:t>
      </w:r>
      <w:r w:rsidR="003A2E32" w:rsidRPr="007F3681">
        <w:rPr>
          <w:b/>
          <w:bCs/>
        </w:rPr>
        <w:t>digitale :</w:t>
      </w:r>
      <w:r w:rsidRPr="007F3681">
        <w:rPr>
          <w:b/>
          <w:bCs/>
        </w:rPr>
        <w:t xml:space="preserve"> traitement temps réel et temps différé</w:t>
      </w:r>
    </w:p>
    <w:p w14:paraId="6702A96E" w14:textId="03425B5F" w:rsidR="00BD24A6" w:rsidRPr="00BD24A6" w:rsidRDefault="00F06D3E" w:rsidP="00BD24A6">
      <w:pPr>
        <w:rPr>
          <w:b/>
          <w:bCs/>
          <w:sz w:val="32"/>
          <w:szCs w:val="32"/>
        </w:rPr>
      </w:pPr>
      <w:r>
        <w:rPr>
          <w:b/>
          <w:bCs/>
          <w:sz w:val="32"/>
          <w:szCs w:val="32"/>
        </w:rPr>
        <w:t xml:space="preserve">Le </w:t>
      </w:r>
      <w:r w:rsidR="003A2E32" w:rsidRPr="003A2E32">
        <w:rPr>
          <w:b/>
          <w:bCs/>
          <w:sz w:val="32"/>
          <w:szCs w:val="32"/>
        </w:rPr>
        <w:t>Déploiement BACnet/SC</w:t>
      </w:r>
    </w:p>
    <w:p w14:paraId="315083E2" w14:textId="77777777" w:rsidR="00937D6B" w:rsidRDefault="00BD24A6" w:rsidP="00BD24A6">
      <w:r w:rsidRPr="00BD24A6">
        <w:t>L’offre BACnet/SC s’étoffe de plus en plus par de plus en plus de constructeurs de taille différente qui font le déploiement en série des produits BACnet/SC. Il y a ce jour une vingtaine de constructeurs et le leur nombre est en rapide croissance</w:t>
      </w:r>
      <w:r w:rsidR="00937D6B">
        <w:t>.</w:t>
      </w:r>
    </w:p>
    <w:p w14:paraId="0057C2FE" w14:textId="19B3CBEC" w:rsidR="00FF2C02" w:rsidRDefault="00BD24A6" w:rsidP="002D7FEF">
      <w:pPr>
        <w:jc w:val="both"/>
      </w:pPr>
      <w:r w:rsidRPr="00BD24A6">
        <w:t xml:space="preserve">La certification BTL BACnet/SC complète le </w:t>
      </w:r>
      <w:r w:rsidR="002D7FEF" w:rsidRPr="00BD24A6">
        <w:t>déploiement</w:t>
      </w:r>
      <w:r w:rsidR="002D7FEF">
        <w:t xml:space="preserve">. </w:t>
      </w:r>
      <w:r w:rsidRPr="00BD24A6">
        <w:t>La certification BTL est volontaire, mais a de la valeur pour le marché</w:t>
      </w:r>
      <w:r w:rsidR="002D7FEF">
        <w:t xml:space="preserve"> </w:t>
      </w:r>
      <w:r w:rsidRPr="00BD24A6">
        <w:t>!</w:t>
      </w:r>
      <w:r w:rsidR="002D7FEF">
        <w:t xml:space="preserve"> U</w:t>
      </w:r>
      <w:r w:rsidRPr="00BD24A6">
        <w:t>n appareil BACnet/SC est certifié selon un profil BTL classique, avec BACnet/SC comme transport sécurisé validé dans les tests BTL.</w:t>
      </w:r>
    </w:p>
    <w:p w14:paraId="0AA719E6" w14:textId="15DD24D1" w:rsidR="00BD24A6" w:rsidRPr="00BD24A6" w:rsidRDefault="00BD24A6" w:rsidP="000F3D99">
      <w:pPr>
        <w:jc w:val="both"/>
      </w:pPr>
      <w:r w:rsidRPr="00BD24A6">
        <w:t>Pour donner suite aux annonces de BACnet France concernant le lancement des produits BACnet/SC et formations BACnet/SC, ANSSI a identifié BACnet France comme un interlocuteur pour faire avancer la cybersécurité dans les bâtiments.</w:t>
      </w:r>
    </w:p>
    <w:p w14:paraId="5EE3B170" w14:textId="07F4A024" w:rsidR="00BD24A6" w:rsidRPr="00BD24A6" w:rsidRDefault="00BD24A6" w:rsidP="000F3D99">
      <w:pPr>
        <w:jc w:val="both"/>
      </w:pPr>
      <w:r w:rsidRPr="00BD24A6">
        <w:t>Aujourd’hui le déploiement de la convergence IT/OT est en route pour le monde industriel.</w:t>
      </w:r>
      <w:r w:rsidR="00C45CD0">
        <w:t xml:space="preserve"> </w:t>
      </w:r>
      <w:r w:rsidRPr="00BD24A6">
        <w:t xml:space="preserve">Il est fait d’ailleurs, sans tenir compte de la spécificité et les coûts induits pour les bâtiments. Ce travail doit être </w:t>
      </w:r>
      <w:r w:rsidR="00DF269E" w:rsidRPr="00BD24A6">
        <w:t>fait !</w:t>
      </w:r>
    </w:p>
    <w:p w14:paraId="19D0CA91" w14:textId="532C9A2A" w:rsidR="00BD24A6" w:rsidRPr="000F3D99" w:rsidRDefault="00BD24A6" w:rsidP="00BD24A6">
      <w:pPr>
        <w:rPr>
          <w:b/>
          <w:bCs/>
        </w:rPr>
      </w:pPr>
      <w:r w:rsidRPr="000F3D99">
        <w:rPr>
          <w:b/>
          <w:bCs/>
        </w:rPr>
        <w:t>Le travail avec ANSSI va se matérialisé par une maquette multi vendeur en BACnet/IP qui va être passer dans les laboratoires de l’ANSSI sur BACnet/SC.</w:t>
      </w:r>
      <w:r w:rsidR="000F3D99">
        <w:rPr>
          <w:b/>
          <w:bCs/>
        </w:rPr>
        <w:t xml:space="preserve"> </w:t>
      </w:r>
      <w:r w:rsidRPr="000F3D99">
        <w:rPr>
          <w:b/>
          <w:bCs/>
        </w:rPr>
        <w:t xml:space="preserve">Les </w:t>
      </w:r>
      <w:r w:rsidRPr="000F3D99">
        <w:rPr>
          <w:b/>
          <w:bCs/>
        </w:rPr>
        <w:lastRenderedPageBreak/>
        <w:t xml:space="preserve">résultats vont être utilisés pour formuler des prescriptions et recommandations pour les acteurs économiques du </w:t>
      </w:r>
      <w:r w:rsidR="00DF269E" w:rsidRPr="000F3D99">
        <w:rPr>
          <w:b/>
          <w:bCs/>
        </w:rPr>
        <w:t>bâtiment</w:t>
      </w:r>
      <w:r w:rsidR="000F3D99">
        <w:rPr>
          <w:b/>
          <w:bCs/>
        </w:rPr>
        <w:t>.</w:t>
      </w:r>
    </w:p>
    <w:p w14:paraId="79F7DFE2" w14:textId="77777777" w:rsidR="00BD24A6" w:rsidRPr="00BD24A6" w:rsidRDefault="00BD24A6" w:rsidP="00BD24A6"/>
    <w:p w14:paraId="3554DEAF" w14:textId="77777777" w:rsidR="00BD24A6" w:rsidRPr="00BD24A6" w:rsidRDefault="00BD24A6" w:rsidP="00BD24A6"/>
    <w:p w14:paraId="13EFA38A" w14:textId="77777777" w:rsidR="00BD24A6" w:rsidRPr="00BD24A6" w:rsidRDefault="00BD24A6" w:rsidP="00BD24A6"/>
    <w:p w14:paraId="6B618EF1" w14:textId="77777777" w:rsidR="00BD24A6" w:rsidRPr="00BD24A6" w:rsidRDefault="00BD24A6" w:rsidP="00BD24A6"/>
    <w:p w14:paraId="18B59B08" w14:textId="77777777" w:rsidR="00BD24A6" w:rsidRPr="00BD24A6" w:rsidRDefault="00BD24A6" w:rsidP="00BD24A6"/>
    <w:p w14:paraId="46B3716A" w14:textId="77777777" w:rsidR="0059768F" w:rsidRDefault="0059768F"/>
    <w:sectPr w:rsidR="005976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B7533"/>
    <w:multiLevelType w:val="hybridMultilevel"/>
    <w:tmpl w:val="0E82E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56914DEF"/>
    <w:multiLevelType w:val="hybridMultilevel"/>
    <w:tmpl w:val="0512073E"/>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5AD27558"/>
    <w:multiLevelType w:val="hybridMultilevel"/>
    <w:tmpl w:val="53D6BFF0"/>
    <w:lvl w:ilvl="0" w:tplc="4F04B898">
      <w:start w:val="1"/>
      <w:numFmt w:val="bullet"/>
      <w:lvlText w:val="-"/>
      <w:lvlJc w:val="left"/>
      <w:pPr>
        <w:ind w:left="1070" w:hanging="360"/>
      </w:pPr>
      <w:rPr>
        <w:rFonts w:ascii="Aptos" w:eastAsiaTheme="minorHAnsi" w:hAnsi="Aptos" w:cstheme="minorBidi" w:hint="default"/>
      </w:rPr>
    </w:lvl>
    <w:lvl w:ilvl="1" w:tplc="040C0003" w:tentative="1">
      <w:start w:val="1"/>
      <w:numFmt w:val="bullet"/>
      <w:lvlText w:val="o"/>
      <w:lvlJc w:val="left"/>
      <w:pPr>
        <w:ind w:left="1790" w:hanging="360"/>
      </w:pPr>
      <w:rPr>
        <w:rFonts w:ascii="Courier New" w:hAnsi="Courier New" w:cs="Courier New" w:hint="default"/>
      </w:rPr>
    </w:lvl>
    <w:lvl w:ilvl="2" w:tplc="040C0005" w:tentative="1">
      <w:start w:val="1"/>
      <w:numFmt w:val="bullet"/>
      <w:lvlText w:val=""/>
      <w:lvlJc w:val="left"/>
      <w:pPr>
        <w:ind w:left="2510" w:hanging="360"/>
      </w:pPr>
      <w:rPr>
        <w:rFonts w:ascii="Wingdings" w:hAnsi="Wingdings" w:hint="default"/>
      </w:rPr>
    </w:lvl>
    <w:lvl w:ilvl="3" w:tplc="040C0001" w:tentative="1">
      <w:start w:val="1"/>
      <w:numFmt w:val="bullet"/>
      <w:lvlText w:val=""/>
      <w:lvlJc w:val="left"/>
      <w:pPr>
        <w:ind w:left="3230" w:hanging="360"/>
      </w:pPr>
      <w:rPr>
        <w:rFonts w:ascii="Symbol" w:hAnsi="Symbol" w:hint="default"/>
      </w:rPr>
    </w:lvl>
    <w:lvl w:ilvl="4" w:tplc="040C0003" w:tentative="1">
      <w:start w:val="1"/>
      <w:numFmt w:val="bullet"/>
      <w:lvlText w:val="o"/>
      <w:lvlJc w:val="left"/>
      <w:pPr>
        <w:ind w:left="3950" w:hanging="360"/>
      </w:pPr>
      <w:rPr>
        <w:rFonts w:ascii="Courier New" w:hAnsi="Courier New" w:cs="Courier New" w:hint="default"/>
      </w:rPr>
    </w:lvl>
    <w:lvl w:ilvl="5" w:tplc="040C0005" w:tentative="1">
      <w:start w:val="1"/>
      <w:numFmt w:val="bullet"/>
      <w:lvlText w:val=""/>
      <w:lvlJc w:val="left"/>
      <w:pPr>
        <w:ind w:left="4670" w:hanging="360"/>
      </w:pPr>
      <w:rPr>
        <w:rFonts w:ascii="Wingdings" w:hAnsi="Wingdings" w:hint="default"/>
      </w:rPr>
    </w:lvl>
    <w:lvl w:ilvl="6" w:tplc="040C0001" w:tentative="1">
      <w:start w:val="1"/>
      <w:numFmt w:val="bullet"/>
      <w:lvlText w:val=""/>
      <w:lvlJc w:val="left"/>
      <w:pPr>
        <w:ind w:left="5390" w:hanging="360"/>
      </w:pPr>
      <w:rPr>
        <w:rFonts w:ascii="Symbol" w:hAnsi="Symbol" w:hint="default"/>
      </w:rPr>
    </w:lvl>
    <w:lvl w:ilvl="7" w:tplc="040C0003" w:tentative="1">
      <w:start w:val="1"/>
      <w:numFmt w:val="bullet"/>
      <w:lvlText w:val="o"/>
      <w:lvlJc w:val="left"/>
      <w:pPr>
        <w:ind w:left="6110" w:hanging="360"/>
      </w:pPr>
      <w:rPr>
        <w:rFonts w:ascii="Courier New" w:hAnsi="Courier New" w:cs="Courier New" w:hint="default"/>
      </w:rPr>
    </w:lvl>
    <w:lvl w:ilvl="8" w:tplc="040C0005" w:tentative="1">
      <w:start w:val="1"/>
      <w:numFmt w:val="bullet"/>
      <w:lvlText w:val=""/>
      <w:lvlJc w:val="left"/>
      <w:pPr>
        <w:ind w:left="6830" w:hanging="360"/>
      </w:pPr>
      <w:rPr>
        <w:rFonts w:ascii="Wingdings" w:hAnsi="Wingdings" w:hint="default"/>
      </w:rPr>
    </w:lvl>
  </w:abstractNum>
  <w:num w:numId="1" w16cid:durableId="2064718545">
    <w:abstractNumId w:val="1"/>
  </w:num>
  <w:num w:numId="2" w16cid:durableId="1519930587">
    <w:abstractNumId w:val="2"/>
  </w:num>
  <w:num w:numId="3" w16cid:durableId="5111453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4A6"/>
    <w:rsid w:val="000104D0"/>
    <w:rsid w:val="0002436F"/>
    <w:rsid w:val="0003737B"/>
    <w:rsid w:val="000F3D99"/>
    <w:rsid w:val="00175EA7"/>
    <w:rsid w:val="00235CA1"/>
    <w:rsid w:val="002D7FEF"/>
    <w:rsid w:val="003A2E32"/>
    <w:rsid w:val="003A55D8"/>
    <w:rsid w:val="003E7244"/>
    <w:rsid w:val="00504AFB"/>
    <w:rsid w:val="0059768F"/>
    <w:rsid w:val="00624E04"/>
    <w:rsid w:val="006401F7"/>
    <w:rsid w:val="00685AEE"/>
    <w:rsid w:val="0069079D"/>
    <w:rsid w:val="006A16C0"/>
    <w:rsid w:val="007123BE"/>
    <w:rsid w:val="00740939"/>
    <w:rsid w:val="00742134"/>
    <w:rsid w:val="00751080"/>
    <w:rsid w:val="00756D51"/>
    <w:rsid w:val="007F3681"/>
    <w:rsid w:val="00833FF3"/>
    <w:rsid w:val="00836773"/>
    <w:rsid w:val="0084029B"/>
    <w:rsid w:val="00842D00"/>
    <w:rsid w:val="00904D9A"/>
    <w:rsid w:val="00932560"/>
    <w:rsid w:val="00937D6B"/>
    <w:rsid w:val="009930C4"/>
    <w:rsid w:val="00A27AD8"/>
    <w:rsid w:val="00AA1D55"/>
    <w:rsid w:val="00AA5C96"/>
    <w:rsid w:val="00AE3240"/>
    <w:rsid w:val="00B42601"/>
    <w:rsid w:val="00B73914"/>
    <w:rsid w:val="00B765DA"/>
    <w:rsid w:val="00BD24A6"/>
    <w:rsid w:val="00BF564C"/>
    <w:rsid w:val="00C0719F"/>
    <w:rsid w:val="00C45CD0"/>
    <w:rsid w:val="00CB6AEB"/>
    <w:rsid w:val="00CD64F9"/>
    <w:rsid w:val="00D04C6B"/>
    <w:rsid w:val="00D4177C"/>
    <w:rsid w:val="00D66E63"/>
    <w:rsid w:val="00DE5D6D"/>
    <w:rsid w:val="00DF269E"/>
    <w:rsid w:val="00E31DE9"/>
    <w:rsid w:val="00F03269"/>
    <w:rsid w:val="00F06D3E"/>
    <w:rsid w:val="00F5237E"/>
    <w:rsid w:val="00F8353E"/>
    <w:rsid w:val="00FD0960"/>
    <w:rsid w:val="00FF2C02"/>
    <w:rsid w:val="00FF33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A48579"/>
  <w15:chartTrackingRefBased/>
  <w15:docId w15:val="{536A772F-10DD-4367-9A1D-00A8FEC0B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D24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D24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D24A6"/>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D24A6"/>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D24A6"/>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D24A6"/>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D24A6"/>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D24A6"/>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D24A6"/>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D24A6"/>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D24A6"/>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D24A6"/>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D24A6"/>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D24A6"/>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D24A6"/>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D24A6"/>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D24A6"/>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D24A6"/>
    <w:rPr>
      <w:rFonts w:eastAsiaTheme="majorEastAsia" w:cstheme="majorBidi"/>
      <w:color w:val="272727" w:themeColor="text1" w:themeTint="D8"/>
    </w:rPr>
  </w:style>
  <w:style w:type="paragraph" w:styleId="Titre">
    <w:name w:val="Title"/>
    <w:basedOn w:val="Normal"/>
    <w:next w:val="Normal"/>
    <w:link w:val="TitreCar"/>
    <w:uiPriority w:val="10"/>
    <w:qFormat/>
    <w:rsid w:val="00BD24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D24A6"/>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D24A6"/>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D24A6"/>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D24A6"/>
    <w:pPr>
      <w:spacing w:before="160"/>
      <w:jc w:val="center"/>
    </w:pPr>
    <w:rPr>
      <w:i/>
      <w:iCs/>
      <w:color w:val="404040" w:themeColor="text1" w:themeTint="BF"/>
    </w:rPr>
  </w:style>
  <w:style w:type="character" w:customStyle="1" w:styleId="CitationCar">
    <w:name w:val="Citation Car"/>
    <w:basedOn w:val="Policepardfaut"/>
    <w:link w:val="Citation"/>
    <w:uiPriority w:val="29"/>
    <w:rsid w:val="00BD24A6"/>
    <w:rPr>
      <w:i/>
      <w:iCs/>
      <w:color w:val="404040" w:themeColor="text1" w:themeTint="BF"/>
    </w:rPr>
  </w:style>
  <w:style w:type="paragraph" w:styleId="Paragraphedeliste">
    <w:name w:val="List Paragraph"/>
    <w:basedOn w:val="Normal"/>
    <w:uiPriority w:val="34"/>
    <w:qFormat/>
    <w:rsid w:val="00BD24A6"/>
    <w:pPr>
      <w:ind w:left="720"/>
      <w:contextualSpacing/>
    </w:pPr>
  </w:style>
  <w:style w:type="character" w:styleId="Accentuationintense">
    <w:name w:val="Intense Emphasis"/>
    <w:basedOn w:val="Policepardfaut"/>
    <w:uiPriority w:val="21"/>
    <w:qFormat/>
    <w:rsid w:val="00BD24A6"/>
    <w:rPr>
      <w:i/>
      <w:iCs/>
      <w:color w:val="0F4761" w:themeColor="accent1" w:themeShade="BF"/>
    </w:rPr>
  </w:style>
  <w:style w:type="paragraph" w:styleId="Citationintense">
    <w:name w:val="Intense Quote"/>
    <w:basedOn w:val="Normal"/>
    <w:next w:val="Normal"/>
    <w:link w:val="CitationintenseCar"/>
    <w:uiPriority w:val="30"/>
    <w:qFormat/>
    <w:rsid w:val="00BD24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D24A6"/>
    <w:rPr>
      <w:i/>
      <w:iCs/>
      <w:color w:val="0F4761" w:themeColor="accent1" w:themeShade="BF"/>
    </w:rPr>
  </w:style>
  <w:style w:type="character" w:styleId="Rfrenceintense">
    <w:name w:val="Intense Reference"/>
    <w:basedOn w:val="Policepardfaut"/>
    <w:uiPriority w:val="32"/>
    <w:qFormat/>
    <w:rsid w:val="00BD24A6"/>
    <w:rPr>
      <w:b/>
      <w:bCs/>
      <w:smallCaps/>
      <w:color w:val="0F4761" w:themeColor="accent1" w:themeShade="BF"/>
      <w:spacing w:val="5"/>
    </w:rPr>
  </w:style>
  <w:style w:type="paragraph" w:styleId="Rvision">
    <w:name w:val="Revision"/>
    <w:hidden/>
    <w:uiPriority w:val="99"/>
    <w:semiHidden/>
    <w:rsid w:val="006401F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TotalTime>
  <Pages>4</Pages>
  <Words>999</Words>
  <Characters>5498</Characters>
  <Application>Microsoft Office Word</Application>
  <DocSecurity>0</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Daniel Napar</dc:creator>
  <cp:keywords/>
  <dc:description/>
  <cp:lastModifiedBy>florent trochu</cp:lastModifiedBy>
  <cp:revision>24</cp:revision>
  <dcterms:created xsi:type="dcterms:W3CDTF">2026-03-31T16:08:00Z</dcterms:created>
  <dcterms:modified xsi:type="dcterms:W3CDTF">2026-04-01T13:29:00Z</dcterms:modified>
</cp:coreProperties>
</file>